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BEC40" w14:textId="6FF40B7E" w:rsidR="00410EEC" w:rsidRPr="00410EEC" w:rsidRDefault="00410EEC" w:rsidP="00410EE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</w:pPr>
      <w:r w:rsidRPr="00410EEC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 xml:space="preserve">Amendments to the Constitution </w:t>
      </w:r>
      <w:r w:rsidR="00F32424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>–</w:t>
      </w:r>
      <w:r w:rsidRPr="00410EEC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 xml:space="preserve"> R</w:t>
      </w:r>
      <w:r w:rsidR="00F32424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>ationale for suggested</w:t>
      </w:r>
      <w:r w:rsidRPr="00410EEC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 xml:space="preserve"> change</w:t>
      </w:r>
      <w:r w:rsidR="00F32424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>s</w:t>
      </w:r>
      <w:r w:rsidRPr="00410EEC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 xml:space="preserve"> - </w:t>
      </w:r>
      <w:r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>June</w:t>
      </w:r>
      <w:r w:rsidRPr="00410EEC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 xml:space="preserve"> 20</w:t>
      </w:r>
      <w:r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AU"/>
          <w14:ligatures w14:val="none"/>
        </w:rPr>
        <w:t>23</w:t>
      </w:r>
    </w:p>
    <w:p w14:paraId="52334092" w14:textId="77777777" w:rsidR="00410EEC" w:rsidRPr="00410EEC" w:rsidRDefault="00410EEC" w:rsidP="00410EEC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en-AU"/>
          <w14:ligatures w14:val="none"/>
        </w:rPr>
      </w:pPr>
    </w:p>
    <w:p w14:paraId="097B47A7" w14:textId="77777777" w:rsidR="00410EEC" w:rsidRPr="00410EEC" w:rsidRDefault="00410EEC" w:rsidP="00410EEC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en-AU"/>
          <w14:ligatures w14:val="none"/>
        </w:rPr>
      </w:pPr>
      <w:r w:rsidRPr="00410EEC">
        <w:rPr>
          <w:rFonts w:ascii="Calibri" w:eastAsia="Times New Roman" w:hAnsi="Calibri" w:cs="Times New Roman"/>
          <w:kern w:val="0"/>
          <w:sz w:val="24"/>
          <w:szCs w:val="24"/>
          <w:lang w:eastAsia="en-AU"/>
          <w14:ligatures w14:val="none"/>
        </w:rPr>
        <w:t>The proposed amendments have been highlighted in red in the revised draft Constitution. This document details the current provision, the suggested revised provision and the rationale for the suggested change.</w:t>
      </w:r>
    </w:p>
    <w:p w14:paraId="5978994C" w14:textId="77777777" w:rsidR="00410EEC" w:rsidRPr="00410EEC" w:rsidRDefault="00410EEC" w:rsidP="00410EEC">
      <w:pPr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en-A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25"/>
        <w:gridCol w:w="5653"/>
        <w:gridCol w:w="3926"/>
      </w:tblGrid>
      <w:tr w:rsidR="00410EEC" w:rsidRPr="00410EEC" w14:paraId="2EC32A64" w14:textId="77777777" w:rsidTr="00410EEC">
        <w:tc>
          <w:tcPr>
            <w:tcW w:w="644" w:type="dxa"/>
            <w:shd w:val="clear" w:color="auto" w:fill="auto"/>
          </w:tcPr>
          <w:p w14:paraId="029DEB54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  <w:t>No</w:t>
            </w:r>
          </w:p>
        </w:tc>
        <w:tc>
          <w:tcPr>
            <w:tcW w:w="3725" w:type="dxa"/>
            <w:shd w:val="clear" w:color="auto" w:fill="auto"/>
          </w:tcPr>
          <w:p w14:paraId="7F59AC82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  <w:t>Current Provision</w:t>
            </w:r>
          </w:p>
        </w:tc>
        <w:tc>
          <w:tcPr>
            <w:tcW w:w="5653" w:type="dxa"/>
            <w:shd w:val="clear" w:color="auto" w:fill="auto"/>
          </w:tcPr>
          <w:p w14:paraId="2E3C03DF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  <w:t>Proposed Provision</w:t>
            </w:r>
          </w:p>
        </w:tc>
        <w:tc>
          <w:tcPr>
            <w:tcW w:w="3926" w:type="dxa"/>
            <w:shd w:val="clear" w:color="auto" w:fill="auto"/>
          </w:tcPr>
          <w:p w14:paraId="4F6D4A2B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:lang w:eastAsia="en-AU"/>
                <w14:ligatures w14:val="none"/>
              </w:rPr>
              <w:t>Reason for change</w:t>
            </w:r>
          </w:p>
        </w:tc>
      </w:tr>
      <w:tr w:rsidR="00410EEC" w:rsidRPr="00410EEC" w14:paraId="21F84ACD" w14:textId="77777777" w:rsidTr="00410EEC">
        <w:tc>
          <w:tcPr>
            <w:tcW w:w="644" w:type="dxa"/>
            <w:shd w:val="clear" w:color="auto" w:fill="auto"/>
          </w:tcPr>
          <w:p w14:paraId="103DFED8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3725" w:type="dxa"/>
            <w:shd w:val="clear" w:color="auto" w:fill="auto"/>
          </w:tcPr>
          <w:p w14:paraId="125B454D" w14:textId="77777777" w:rsidR="001D2B89" w:rsidRDefault="001D2B89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2.Purposes</w:t>
            </w:r>
          </w:p>
          <w:p w14:paraId="3AEDBBF9" w14:textId="2999F511" w:rsid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The 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current </w:t>
            </w:r>
            <w:r w:rsidRPr="00410EE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purposes of the Society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includes Society is a ‘peak body’ </w:t>
            </w:r>
          </w:p>
          <w:p w14:paraId="38AE361D" w14:textId="77777777" w:rsidR="00624103" w:rsidRDefault="00624103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64E2F643" w14:textId="15ED0790" w:rsidR="00624103" w:rsidRDefault="00624103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The purpose</w:t>
            </w:r>
            <w:r w:rsid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s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of the Society are to:…</w:t>
            </w:r>
          </w:p>
          <w:p w14:paraId="3C2FFFAD" w14:textId="77777777" w:rsid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07D8C921" w14:textId="4F22D882" w:rsid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2.5 as the peak body represent and support affiliated historical societies throughout Victoria;</w:t>
            </w:r>
            <w:r w:rsidR="00BA6F6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…</w:t>
            </w:r>
          </w:p>
          <w:p w14:paraId="348A7698" w14:textId="2B7A4C1A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  <w:p w14:paraId="364B1DED" w14:textId="4C06454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53" w:type="dxa"/>
            <w:shd w:val="clear" w:color="auto" w:fill="auto"/>
          </w:tcPr>
          <w:p w14:paraId="7AC7D7CC" w14:textId="77777777" w:rsidR="00410EEC" w:rsidRDefault="00410EEC" w:rsidP="00410EE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2 </w:t>
            </w:r>
            <w:r w:rsidRPr="00410EE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The purposes of the Society are to:</w:t>
            </w:r>
          </w:p>
          <w:p w14:paraId="17A9B605" w14:textId="56552F11" w:rsidR="00410EEC" w:rsidRDefault="00410EEC" w:rsidP="00410EE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…</w:t>
            </w:r>
          </w:p>
          <w:p w14:paraId="1976A73A" w14:textId="5D1C3398" w:rsidR="00410EEC" w:rsidRDefault="00410EEC" w:rsidP="00410EE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2.5 </w:t>
            </w:r>
            <w:r w:rsidR="001D2B89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support and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assist</w:t>
            </w:r>
            <w:r w:rsidR="001D2B89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affiliated historical societies throughout</w:t>
            </w:r>
            <w:r w:rsidR="001D2B89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Victoria;</w:t>
            </w:r>
            <w:r w:rsidR="00BA6F6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…</w:t>
            </w:r>
          </w:p>
          <w:p w14:paraId="763EC18B" w14:textId="27A64699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>..</w:t>
            </w:r>
          </w:p>
          <w:p w14:paraId="4A3BBCA0" w14:textId="1B0D9794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  <w:p w14:paraId="70C02E33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7B93FD5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021F59F4" w14:textId="77777777" w:rsidR="00410EEC" w:rsidRPr="00410EEC" w:rsidRDefault="00410EE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10EE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               </w:t>
            </w:r>
          </w:p>
        </w:tc>
        <w:tc>
          <w:tcPr>
            <w:tcW w:w="3926" w:type="dxa"/>
            <w:shd w:val="clear" w:color="auto" w:fill="auto"/>
          </w:tcPr>
          <w:p w14:paraId="3D62E3E9" w14:textId="7E5DBAC0" w:rsidR="00624103" w:rsidRDefault="003A7930" w:rsidP="00624103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Council has </w:t>
            </w:r>
            <w:r w:rsidR="003D6525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reviewed 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th</w:t>
            </w:r>
            <w:r w:rsidR="003D6525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e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reference to the RHSV as a ‘peak body’</w:t>
            </w:r>
            <w:r w:rsidR="00624103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. In Council deliberations Councillors agreed that the RHSV does not perform a peak body representation role. </w:t>
            </w:r>
            <w:r w:rsidR="00164355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Affiliated </w:t>
            </w:r>
            <w:r w:rsidR="00C54191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historical </w:t>
            </w:r>
            <w:r w:rsidR="00164355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societies do not have voting rights</w:t>
            </w:r>
            <w:r w:rsidR="00A06D07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and t</w:t>
            </w:r>
            <w:r w:rsidR="00624103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he</w:t>
            </w:r>
            <w:r w:rsidR="00E332D6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re </w:t>
            </w:r>
            <w:r w:rsidR="002B374D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are </w:t>
            </w:r>
            <w:r w:rsidR="00E332D6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no</w:t>
            </w:r>
            <w:r w:rsidR="00624103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formal processes to consult </w:t>
            </w:r>
            <w:r w:rsidR="00DA7F11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affiliated society </w:t>
            </w:r>
            <w:r w:rsidR="00624103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members </w:t>
            </w:r>
            <w:r w:rsidR="004561D7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prior to </w:t>
            </w:r>
            <w:r w:rsidR="00A06D07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Council consideration</w:t>
            </w:r>
            <w:r w:rsidR="002B374D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s.</w:t>
            </w:r>
          </w:p>
          <w:p w14:paraId="3B5571C0" w14:textId="77777777" w:rsidR="00BA6F6C" w:rsidRPr="00410EEC" w:rsidRDefault="00BA6F6C" w:rsidP="00624103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5CE2F46" w14:textId="79DFB93B" w:rsidR="00410EEC" w:rsidRPr="00410EEC" w:rsidRDefault="00624103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Council has agreed to remove the reference to ‘peak body’ and ‘represent’ and replace with </w:t>
            </w:r>
            <w:r w:rsidR="006529D5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‘support and assist’ which accurately reflects the relationship between the Society and its affiliated historical societies. </w:t>
            </w:r>
          </w:p>
        </w:tc>
      </w:tr>
      <w:tr w:rsidR="001D2B89" w:rsidRPr="00410EEC" w14:paraId="3D7D75D8" w14:textId="77777777" w:rsidTr="00410EEC">
        <w:tc>
          <w:tcPr>
            <w:tcW w:w="644" w:type="dxa"/>
            <w:shd w:val="clear" w:color="auto" w:fill="auto"/>
          </w:tcPr>
          <w:p w14:paraId="41A556E5" w14:textId="61F4662A" w:rsidR="001D2B89" w:rsidRPr="00410EEC" w:rsidRDefault="001D2B89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2 </w:t>
            </w:r>
          </w:p>
        </w:tc>
        <w:tc>
          <w:tcPr>
            <w:tcW w:w="3725" w:type="dxa"/>
            <w:shd w:val="clear" w:color="auto" w:fill="auto"/>
          </w:tcPr>
          <w:p w14:paraId="4550A574" w14:textId="77777777" w:rsidR="006529D5" w:rsidRDefault="006529D5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D1724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9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. </w:t>
            </w:r>
            <w:r w:rsidRPr="004D1724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Categories of Membership and Fees</w:t>
            </w:r>
          </w:p>
          <w:p w14:paraId="0FCF2BD9" w14:textId="77777777" w:rsidR="006529D5" w:rsidRDefault="006529D5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The Council may determine membership categories, fees and 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these will be published as By-Law No.1</w:t>
            </w:r>
          </w:p>
          <w:p w14:paraId="659E3048" w14:textId="77777777" w:rsidR="006529D5" w:rsidRPr="004D1724" w:rsidRDefault="006529D5" w:rsidP="00410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4D1724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13. Annual subscription</w:t>
            </w:r>
          </w:p>
          <w:p w14:paraId="5C16FBD6" w14:textId="77777777" w:rsidR="006529D5" w:rsidRDefault="006529D5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07F4D8B0" w14:textId="6026A7E8" w:rsidR="004D1724" w:rsidRPr="004D1724" w:rsidRDefault="006529D5" w:rsidP="004D1724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(</w:t>
            </w:r>
            <w:r w:rsidR="004D1724"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1)</w:t>
            </w:r>
            <w:r w:rsid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r w:rsidR="004D1724"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The Council may determine from time to time the amount of the annual subscription. </w:t>
            </w:r>
          </w:p>
          <w:p w14:paraId="57299E4B" w14:textId="4190A6F2" w:rsidR="004D1724" w:rsidRPr="004D1724" w:rsidRDefault="004D1724" w:rsidP="004D1724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(2) </w:t>
            </w:r>
            <w:r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The term of the annual subscription will date from the day a member joins.</w:t>
            </w:r>
          </w:p>
          <w:p w14:paraId="72AA9296" w14:textId="77777777" w:rsidR="004D1724" w:rsidRPr="004D1724" w:rsidRDefault="004D1724" w:rsidP="004D1724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Note: Prior to 2018 members had a fixed membership renewal date of either 1 January or 1 July.   From 2018 new members will renew on the anniversary date of their joining. </w:t>
            </w:r>
          </w:p>
          <w:p w14:paraId="14C6818D" w14:textId="2D38E7D9" w:rsidR="004D1724" w:rsidRPr="004D1724" w:rsidRDefault="004D1724" w:rsidP="004D1724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(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3) </w:t>
            </w:r>
            <w:r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If a membership lapses for a period of more than six months, subsequent renewal will be treated as a new membership.</w:t>
            </w:r>
          </w:p>
          <w:p w14:paraId="72B2BF13" w14:textId="704A1503" w:rsidR="004D1724" w:rsidRPr="00410EEC" w:rsidRDefault="004D1724" w:rsidP="004D1724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(4) </w:t>
            </w:r>
            <w:r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The rights of a member (including the right to vote) who has not paid the annual subscription within three months of the due date are suspended until the subscription is paid.</w:t>
            </w:r>
            <w:r w:rsidRPr="004D17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ab/>
              <w:t xml:space="preserve">     </w:t>
            </w:r>
          </w:p>
          <w:p w14:paraId="7F036222" w14:textId="28B748A1" w:rsidR="004D1724" w:rsidRPr="00410EEC" w:rsidRDefault="004D1724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53" w:type="dxa"/>
            <w:shd w:val="clear" w:color="auto" w:fill="auto"/>
          </w:tcPr>
          <w:p w14:paraId="7D685C30" w14:textId="77777777" w:rsidR="006529D5" w:rsidRDefault="006529D5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9. Categories of Membership, subscriptions and Fees</w:t>
            </w:r>
          </w:p>
          <w:p w14:paraId="10C61736" w14:textId="77777777" w:rsidR="001D2B89" w:rsidRDefault="006529D5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The Council may determine membership categories, subscriptions and fees.</w:t>
            </w:r>
            <w: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  <w:p w14:paraId="1E373661" w14:textId="77777777" w:rsidR="006529D5" w:rsidRDefault="006529D5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05C3BF99" w14:textId="77777777" w:rsidR="004D1724" w:rsidRDefault="004D1724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4BA6301D" w14:textId="77777777" w:rsidR="004D1724" w:rsidRDefault="004D1724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001828B" w14:textId="23EC18D4" w:rsidR="006529D5" w:rsidRDefault="00BA6F6C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  <w:t>13.</w:t>
            </w:r>
            <w:r w:rsidR="006529D5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  <w:t>Annual subscription</w:t>
            </w:r>
          </w:p>
          <w:p w14:paraId="46B2AD0B" w14:textId="77777777" w:rsidR="004D1724" w:rsidRDefault="004D1724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29DFDDDD" w14:textId="682E3470" w:rsidR="004D1724" w:rsidRPr="004D1724" w:rsidRDefault="004D1724" w:rsidP="004D1724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(</w:t>
            </w:r>
            <w:r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) The term of the annual subscription will date from the day a member joins.</w:t>
            </w:r>
          </w:p>
          <w:p w14:paraId="0C4F319E" w14:textId="77777777" w:rsidR="004D1724" w:rsidRPr="004D1724" w:rsidRDefault="004D1724" w:rsidP="004D1724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8130CC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Note: Prior to 2018 members had a fixed membership renewal date of either 1 January or 1 July.   From 2018 new members will renew on the anniversary date of their joining.</w:t>
            </w: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  <w:p w14:paraId="552F3511" w14:textId="14530FDD" w:rsidR="004D1724" w:rsidRPr="004D1724" w:rsidRDefault="004D1724" w:rsidP="004D1724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(</w:t>
            </w:r>
            <w:r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) If a membership lapses for a period of more than six months, subsequent renewal will be treated as a new membership.</w:t>
            </w:r>
          </w:p>
          <w:p w14:paraId="1484A478" w14:textId="43ED32AC" w:rsidR="004D1724" w:rsidRPr="004D1724" w:rsidRDefault="004D1724" w:rsidP="004D1724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(</w:t>
            </w:r>
            <w:r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>) The rights of a member (including the right to vote) who has not paid the annual subscription within three months of the due date are suspended until the subscription is paid.</w:t>
            </w:r>
            <w:r w:rsidRPr="004D1724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n-AU"/>
                <w14:ligatures w14:val="none"/>
              </w:rPr>
              <w:tab/>
              <w:t xml:space="preserve">     </w:t>
            </w:r>
          </w:p>
          <w:p w14:paraId="04B9474D" w14:textId="77777777" w:rsidR="004D1724" w:rsidRDefault="004D1724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3FD8B57A" w14:textId="3126E730" w:rsidR="006529D5" w:rsidRPr="00410EEC" w:rsidRDefault="006529D5" w:rsidP="00410EE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926" w:type="dxa"/>
            <w:shd w:val="clear" w:color="auto" w:fill="auto"/>
          </w:tcPr>
          <w:p w14:paraId="76247A61" w14:textId="7A9461A0" w:rsidR="001D2B89" w:rsidRDefault="004D1724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To provide clarity and to remove duplication</w:t>
            </w:r>
            <w:r w:rsid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.</w:t>
            </w:r>
          </w:p>
          <w:p w14:paraId="5E2C57AF" w14:textId="172CF3D1" w:rsidR="00BA6F6C" w:rsidRDefault="004D1724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Clause 9 – </w:t>
            </w:r>
            <w:r w:rsid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was a new provision added in 2019 when the Constitution was last reviewed.</w:t>
            </w:r>
            <w:r w:rsidR="00BA6F6C">
              <w:t xml:space="preserve"> S</w:t>
            </w:r>
            <w:r w:rsidR="00BA6F6C" w:rsidRP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ubscriptions will be </w:t>
            </w:r>
            <w:r w:rsidR="00BA6F6C" w:rsidRP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added to the title and the wording of the provision</w:t>
            </w:r>
            <w:r w:rsid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.</w:t>
            </w:r>
          </w:p>
          <w:p w14:paraId="24180756" w14:textId="77777777" w:rsidR="004D1724" w:rsidRDefault="004D1724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79E368D5" w14:textId="750F29FB" w:rsidR="004D1724" w:rsidRDefault="004D1724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Clause 13 </w:t>
            </w:r>
            <w:r w:rsid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(1) is superfluous given the  provision</w:t>
            </w:r>
            <w:r w:rsidR="00F3242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of clause 9</w:t>
            </w:r>
            <w:r w:rsidR="00BA6F6C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and should be deleted. </w:t>
            </w:r>
          </w:p>
          <w:p w14:paraId="51865116" w14:textId="77777777" w:rsidR="00BA6F6C" w:rsidRDefault="00BA6F6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77B6DE5C" w14:textId="47838C50" w:rsidR="00BA6F6C" w:rsidRDefault="0026591C" w:rsidP="00410EEC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Remove ‘fee on j</w:t>
            </w:r>
            <w:r w:rsidR="00D870A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oining’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from</w:t>
            </w:r>
            <w:r w:rsidR="00506806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 xml:space="preserve"> clause 13 in </w:t>
            </w:r>
            <w:r w:rsidR="00EB4F70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the ‘</w:t>
            </w:r>
            <w:r w:rsidR="00D870A4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Table of Provisions</w:t>
            </w:r>
            <w:r w:rsidR="00EB4F70">
              <w:rPr>
                <w:rFonts w:ascii="Calibri" w:eastAsia="Times New Roman" w:hAnsi="Calibri" w:cs="Arial"/>
                <w:kern w:val="0"/>
                <w:sz w:val="24"/>
                <w:szCs w:val="24"/>
                <w:lang w:eastAsia="en-AU"/>
                <w14:ligatures w14:val="none"/>
              </w:rPr>
              <w:t>’ as this is not the title of the provision.</w:t>
            </w:r>
          </w:p>
        </w:tc>
      </w:tr>
    </w:tbl>
    <w:p w14:paraId="75576FF9" w14:textId="57212387" w:rsidR="003D6525" w:rsidRDefault="003D6525">
      <w:bookmarkStart w:id="0" w:name="_GoBack"/>
      <w:bookmarkEnd w:id="0"/>
    </w:p>
    <w:sectPr w:rsidR="003D6525" w:rsidSect="00473CAC">
      <w:footerReference w:type="even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F5504" w14:textId="77777777" w:rsidR="001E699C" w:rsidRDefault="001E699C">
      <w:pPr>
        <w:spacing w:after="0" w:line="240" w:lineRule="auto"/>
      </w:pPr>
      <w:r>
        <w:separator/>
      </w:r>
    </w:p>
  </w:endnote>
  <w:endnote w:type="continuationSeparator" w:id="0">
    <w:p w14:paraId="7CBB462F" w14:textId="77777777" w:rsidR="001E699C" w:rsidRDefault="001E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0A3D" w14:textId="77777777" w:rsidR="00A36B31" w:rsidRDefault="00F32424" w:rsidP="00557E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AD8D0B" w14:textId="77777777" w:rsidR="00A36B31" w:rsidRDefault="001E6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0868A" w14:textId="6EA4B0FD" w:rsidR="00DD2449" w:rsidRDefault="00F324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30CC">
      <w:rPr>
        <w:noProof/>
      </w:rPr>
      <w:t>1</w:t>
    </w:r>
    <w:r>
      <w:rPr>
        <w:noProof/>
      </w:rPr>
      <w:fldChar w:fldCharType="end"/>
    </w:r>
  </w:p>
  <w:p w14:paraId="3126184D" w14:textId="77777777" w:rsidR="00A36B31" w:rsidRDefault="001E6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1236" w14:textId="77777777" w:rsidR="001E699C" w:rsidRDefault="001E699C">
      <w:pPr>
        <w:spacing w:after="0" w:line="240" w:lineRule="auto"/>
      </w:pPr>
      <w:r>
        <w:separator/>
      </w:r>
    </w:p>
  </w:footnote>
  <w:footnote w:type="continuationSeparator" w:id="0">
    <w:p w14:paraId="4AD719C9" w14:textId="77777777" w:rsidR="001E699C" w:rsidRDefault="001E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73A"/>
    <w:multiLevelType w:val="hybridMultilevel"/>
    <w:tmpl w:val="99082D66"/>
    <w:lvl w:ilvl="0" w:tplc="EA4ABDA0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D7F9C"/>
    <w:multiLevelType w:val="hybridMultilevel"/>
    <w:tmpl w:val="9050C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C"/>
    <w:rsid w:val="00054954"/>
    <w:rsid w:val="00164355"/>
    <w:rsid w:val="001D2B89"/>
    <w:rsid w:val="001E699C"/>
    <w:rsid w:val="0026591C"/>
    <w:rsid w:val="002B374D"/>
    <w:rsid w:val="002E3943"/>
    <w:rsid w:val="003A7930"/>
    <w:rsid w:val="003D6525"/>
    <w:rsid w:val="003D799A"/>
    <w:rsid w:val="00410EEC"/>
    <w:rsid w:val="004561D7"/>
    <w:rsid w:val="004B4E01"/>
    <w:rsid w:val="004D1724"/>
    <w:rsid w:val="00506806"/>
    <w:rsid w:val="00587F36"/>
    <w:rsid w:val="00624103"/>
    <w:rsid w:val="006529D5"/>
    <w:rsid w:val="007C50A0"/>
    <w:rsid w:val="008130CC"/>
    <w:rsid w:val="00955576"/>
    <w:rsid w:val="00A06D07"/>
    <w:rsid w:val="00BA6F6C"/>
    <w:rsid w:val="00C54191"/>
    <w:rsid w:val="00CB4E58"/>
    <w:rsid w:val="00D870A4"/>
    <w:rsid w:val="00DA7F11"/>
    <w:rsid w:val="00E332D6"/>
    <w:rsid w:val="00E556FA"/>
    <w:rsid w:val="00EB4F70"/>
    <w:rsid w:val="00F32424"/>
    <w:rsid w:val="00F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9EFF"/>
  <w15:chartTrackingRefBased/>
  <w15:docId w15:val="{8D19EE6A-D939-4794-8183-37653ECC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EEC"/>
  </w:style>
  <w:style w:type="character" w:styleId="PageNumber">
    <w:name w:val="page number"/>
    <w:basedOn w:val="DefaultParagraphFont"/>
    <w:rsid w:val="0041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Butcher</dc:creator>
  <cp:keywords/>
  <dc:description/>
  <cp:lastModifiedBy>Exec Officer</cp:lastModifiedBy>
  <cp:revision>19</cp:revision>
  <dcterms:created xsi:type="dcterms:W3CDTF">2023-05-17T05:27:00Z</dcterms:created>
  <dcterms:modified xsi:type="dcterms:W3CDTF">2023-06-01T06:29:00Z</dcterms:modified>
</cp:coreProperties>
</file>